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FBD" w:rsidRPr="006A1FBD" w:rsidRDefault="006A1FBD" w:rsidP="006A1FBD">
      <w:pPr>
        <w:spacing w:after="0" w:line="480" w:lineRule="auto"/>
        <w:ind w:left="720" w:hanging="720"/>
        <w:rPr>
          <w:rFonts w:ascii="Times New Roman" w:eastAsia="Times New Roman" w:hAnsi="Times New Roman" w:cs="Times New Roman"/>
          <w:sz w:val="24"/>
          <w:szCs w:val="24"/>
        </w:rPr>
      </w:pPr>
      <w:bookmarkStart w:id="0" w:name="_GoBack"/>
      <w:bookmarkEnd w:id="0"/>
    </w:p>
    <w:p w:rsidR="006A1FBD" w:rsidRPr="006A1FBD" w:rsidRDefault="006A1FBD" w:rsidP="006A1FBD">
      <w:pPr>
        <w:spacing w:after="0" w:line="480" w:lineRule="auto"/>
        <w:ind w:left="720" w:hanging="720"/>
        <w:rPr>
          <w:rFonts w:ascii="Times New Roman" w:eastAsia="Times New Roman" w:hAnsi="Times New Roman" w:cs="Times New Roman"/>
          <w:sz w:val="24"/>
          <w:szCs w:val="24"/>
        </w:rPr>
      </w:pPr>
    </w:p>
    <w:p w:rsidR="006A1FBD" w:rsidRPr="006A1FBD" w:rsidRDefault="006A1FBD" w:rsidP="006A1FBD">
      <w:pPr>
        <w:spacing w:after="0" w:line="480" w:lineRule="auto"/>
        <w:ind w:left="720" w:hanging="720"/>
        <w:rPr>
          <w:rFonts w:ascii="Times New Roman" w:eastAsia="Times New Roman" w:hAnsi="Times New Roman" w:cs="Times New Roman"/>
          <w:sz w:val="24"/>
          <w:szCs w:val="24"/>
        </w:rPr>
      </w:pPr>
    </w:p>
    <w:p w:rsidR="006A1FBD" w:rsidRPr="006A1FBD" w:rsidRDefault="006A1FBD" w:rsidP="007A0EC5">
      <w:pPr>
        <w:spacing w:after="0" w:line="480" w:lineRule="auto"/>
        <w:ind w:left="720" w:hanging="720"/>
        <w:jc w:val="center"/>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Impacts of trade agreements</w:t>
      </w:r>
    </w:p>
    <w:p w:rsidR="006A1FBD" w:rsidRPr="006A1FBD" w:rsidRDefault="006A1FBD" w:rsidP="007A0EC5">
      <w:pPr>
        <w:spacing w:after="0" w:line="480" w:lineRule="auto"/>
        <w:ind w:left="720" w:hanging="720"/>
        <w:jc w:val="center"/>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Name</w:t>
      </w:r>
    </w:p>
    <w:p w:rsidR="006A1FBD" w:rsidRPr="006A1FBD" w:rsidRDefault="006A1FBD" w:rsidP="007A0EC5">
      <w:pPr>
        <w:spacing w:after="0" w:line="480" w:lineRule="auto"/>
        <w:ind w:left="720" w:hanging="720"/>
        <w:jc w:val="center"/>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Institutional Affiliation</w:t>
      </w:r>
    </w:p>
    <w:p w:rsidR="006A1FBD" w:rsidRPr="006A1FBD" w:rsidRDefault="006A1FBD" w:rsidP="007A0EC5">
      <w:pPr>
        <w:spacing w:after="0" w:line="480" w:lineRule="auto"/>
        <w:ind w:left="720" w:hanging="720"/>
        <w:jc w:val="center"/>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Date</w:t>
      </w:r>
    </w:p>
    <w:p w:rsidR="006A1FBD" w:rsidRPr="006A1FBD" w:rsidRDefault="006A1FBD" w:rsidP="007A0EC5">
      <w:pPr>
        <w:spacing w:after="0" w:line="480" w:lineRule="auto"/>
        <w:ind w:left="720" w:hanging="720"/>
        <w:jc w:val="center"/>
        <w:rPr>
          <w:rFonts w:ascii="Times New Roman" w:eastAsia="Times New Roman" w:hAnsi="Times New Roman" w:cs="Times New Roman"/>
          <w:sz w:val="24"/>
          <w:szCs w:val="24"/>
        </w:rPr>
      </w:pPr>
    </w:p>
    <w:p w:rsidR="006A1FBD" w:rsidRPr="006A1FBD" w:rsidRDefault="006A1FBD" w:rsidP="006A1FBD">
      <w:pPr>
        <w:spacing w:after="0" w:line="480" w:lineRule="auto"/>
        <w:ind w:left="720" w:hanging="720"/>
        <w:rPr>
          <w:rFonts w:ascii="Times New Roman" w:eastAsia="Times New Roman" w:hAnsi="Times New Roman" w:cs="Times New Roman"/>
          <w:sz w:val="24"/>
          <w:szCs w:val="24"/>
        </w:rPr>
      </w:pPr>
    </w:p>
    <w:p w:rsidR="006A1FBD" w:rsidRPr="006A1FBD" w:rsidRDefault="006A1FBD" w:rsidP="006A1FBD">
      <w:pPr>
        <w:spacing w:after="0" w:line="480" w:lineRule="auto"/>
        <w:ind w:left="720" w:hanging="720"/>
        <w:rPr>
          <w:rFonts w:ascii="Times New Roman" w:eastAsia="Times New Roman" w:hAnsi="Times New Roman" w:cs="Times New Roman"/>
          <w:sz w:val="24"/>
          <w:szCs w:val="24"/>
        </w:rPr>
      </w:pPr>
    </w:p>
    <w:p w:rsidR="006A1FBD" w:rsidRPr="006A1FBD" w:rsidRDefault="006A1FBD" w:rsidP="006A1FBD">
      <w:pPr>
        <w:spacing w:after="0" w:line="480" w:lineRule="auto"/>
        <w:ind w:left="720" w:hanging="720"/>
        <w:rPr>
          <w:rFonts w:ascii="Times New Roman" w:eastAsia="Times New Roman" w:hAnsi="Times New Roman" w:cs="Times New Roman"/>
          <w:sz w:val="24"/>
          <w:szCs w:val="24"/>
        </w:rPr>
      </w:pPr>
    </w:p>
    <w:p w:rsidR="006A1FBD" w:rsidRPr="006A1FBD" w:rsidRDefault="006A1FBD" w:rsidP="006A1FBD">
      <w:pPr>
        <w:spacing w:after="0" w:line="480" w:lineRule="auto"/>
        <w:ind w:left="720" w:hanging="720"/>
        <w:rPr>
          <w:rFonts w:ascii="Times New Roman" w:eastAsia="Times New Roman" w:hAnsi="Times New Roman" w:cs="Times New Roman"/>
          <w:sz w:val="24"/>
          <w:szCs w:val="24"/>
        </w:rPr>
      </w:pPr>
    </w:p>
    <w:p w:rsidR="006A1FBD" w:rsidRPr="006A1FBD" w:rsidRDefault="006A1FBD" w:rsidP="006A1FBD">
      <w:pPr>
        <w:spacing w:after="0" w:line="480" w:lineRule="auto"/>
        <w:ind w:left="720" w:hanging="720"/>
        <w:rPr>
          <w:rFonts w:ascii="Times New Roman" w:eastAsia="Times New Roman" w:hAnsi="Times New Roman" w:cs="Times New Roman"/>
          <w:sz w:val="24"/>
          <w:szCs w:val="24"/>
        </w:rPr>
      </w:pPr>
    </w:p>
    <w:p w:rsidR="006A1FBD" w:rsidRPr="006A1FBD" w:rsidRDefault="006A1FBD" w:rsidP="006A1FBD">
      <w:pPr>
        <w:spacing w:after="0" w:line="480" w:lineRule="auto"/>
        <w:ind w:left="720" w:hanging="720"/>
        <w:rPr>
          <w:rFonts w:ascii="Times New Roman" w:eastAsia="Times New Roman" w:hAnsi="Times New Roman" w:cs="Times New Roman"/>
          <w:sz w:val="24"/>
          <w:szCs w:val="24"/>
        </w:rPr>
      </w:pPr>
    </w:p>
    <w:p w:rsidR="006A1FBD" w:rsidRPr="006A1FBD" w:rsidRDefault="006A1FBD" w:rsidP="006A1FBD">
      <w:pPr>
        <w:spacing w:after="0" w:line="480" w:lineRule="auto"/>
        <w:ind w:left="720" w:hanging="720"/>
        <w:rPr>
          <w:rFonts w:ascii="Times New Roman" w:eastAsia="Times New Roman" w:hAnsi="Times New Roman" w:cs="Times New Roman"/>
          <w:sz w:val="24"/>
          <w:szCs w:val="24"/>
        </w:rPr>
      </w:pPr>
    </w:p>
    <w:p w:rsidR="006A1FBD" w:rsidRPr="006A1FBD" w:rsidRDefault="006A1FBD" w:rsidP="006A1FBD">
      <w:pPr>
        <w:spacing w:after="0" w:line="480" w:lineRule="auto"/>
        <w:ind w:left="720" w:hanging="720"/>
        <w:rPr>
          <w:rFonts w:ascii="Times New Roman" w:eastAsia="Times New Roman" w:hAnsi="Times New Roman" w:cs="Times New Roman"/>
          <w:sz w:val="24"/>
          <w:szCs w:val="24"/>
        </w:rPr>
      </w:pPr>
    </w:p>
    <w:p w:rsidR="006A1FBD" w:rsidRPr="006A1FBD" w:rsidRDefault="006A1FBD" w:rsidP="006A1FBD">
      <w:pPr>
        <w:spacing w:after="0" w:line="480" w:lineRule="auto"/>
        <w:ind w:left="720" w:hanging="720"/>
        <w:rPr>
          <w:rFonts w:ascii="Times New Roman" w:eastAsia="Times New Roman" w:hAnsi="Times New Roman" w:cs="Times New Roman"/>
          <w:sz w:val="24"/>
          <w:szCs w:val="24"/>
        </w:rPr>
      </w:pPr>
    </w:p>
    <w:p w:rsidR="00B87969" w:rsidRDefault="00B87969" w:rsidP="007A0EC5">
      <w:pPr>
        <w:spacing w:after="0" w:line="480" w:lineRule="auto"/>
        <w:ind w:firstLine="720"/>
        <w:rPr>
          <w:rFonts w:ascii="Times New Roman" w:eastAsia="Times New Roman" w:hAnsi="Times New Roman" w:cs="Times New Roman"/>
          <w:sz w:val="24"/>
          <w:szCs w:val="24"/>
        </w:rPr>
      </w:pPr>
    </w:p>
    <w:p w:rsidR="00B87969" w:rsidRDefault="00B87969" w:rsidP="007A0EC5">
      <w:pPr>
        <w:spacing w:after="0" w:line="480" w:lineRule="auto"/>
        <w:ind w:firstLine="720"/>
        <w:rPr>
          <w:rFonts w:ascii="Times New Roman" w:eastAsia="Times New Roman" w:hAnsi="Times New Roman" w:cs="Times New Roman"/>
          <w:sz w:val="24"/>
          <w:szCs w:val="24"/>
        </w:rPr>
      </w:pPr>
    </w:p>
    <w:p w:rsidR="00B87969" w:rsidRDefault="00B87969" w:rsidP="007A0EC5">
      <w:pPr>
        <w:spacing w:after="0" w:line="480" w:lineRule="auto"/>
        <w:ind w:firstLine="720"/>
        <w:rPr>
          <w:rFonts w:ascii="Times New Roman" w:eastAsia="Times New Roman" w:hAnsi="Times New Roman" w:cs="Times New Roman"/>
          <w:sz w:val="24"/>
          <w:szCs w:val="24"/>
        </w:rPr>
      </w:pPr>
    </w:p>
    <w:p w:rsidR="00B87969" w:rsidRDefault="00B87969" w:rsidP="007A0EC5">
      <w:pPr>
        <w:spacing w:after="0" w:line="480" w:lineRule="auto"/>
        <w:ind w:firstLine="720"/>
        <w:rPr>
          <w:rFonts w:ascii="Times New Roman" w:eastAsia="Times New Roman" w:hAnsi="Times New Roman" w:cs="Times New Roman"/>
          <w:sz w:val="24"/>
          <w:szCs w:val="24"/>
        </w:rPr>
      </w:pPr>
    </w:p>
    <w:p w:rsidR="00B87969" w:rsidRDefault="00B87969" w:rsidP="007A0EC5">
      <w:pPr>
        <w:spacing w:after="0" w:line="480" w:lineRule="auto"/>
        <w:ind w:firstLine="720"/>
        <w:rPr>
          <w:rFonts w:ascii="Times New Roman" w:eastAsia="Times New Roman" w:hAnsi="Times New Roman" w:cs="Times New Roman"/>
          <w:sz w:val="24"/>
          <w:szCs w:val="24"/>
        </w:rPr>
      </w:pPr>
    </w:p>
    <w:p w:rsidR="00B87969" w:rsidRDefault="00B87969" w:rsidP="007A0EC5">
      <w:pPr>
        <w:spacing w:after="0" w:line="480" w:lineRule="auto"/>
        <w:ind w:firstLine="720"/>
        <w:rPr>
          <w:rFonts w:ascii="Times New Roman" w:eastAsia="Times New Roman" w:hAnsi="Times New Roman" w:cs="Times New Roman"/>
          <w:sz w:val="24"/>
          <w:szCs w:val="24"/>
        </w:rPr>
      </w:pPr>
    </w:p>
    <w:p w:rsidR="006A1FBD" w:rsidRPr="006A1FBD" w:rsidRDefault="006A1FBD" w:rsidP="00B87969">
      <w:pPr>
        <w:spacing w:after="0" w:line="480" w:lineRule="auto"/>
        <w:ind w:firstLine="720"/>
        <w:jc w:val="center"/>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lastRenderedPageBreak/>
        <w:t>Trade agreement in Kenya</w:t>
      </w:r>
    </w:p>
    <w:p w:rsidR="006A1FBD" w:rsidRPr="006A1FBD" w:rsidRDefault="006A1FBD" w:rsidP="007A0EC5">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 xml:space="preserve">Trade agreement in Kenya can be described from bilateral and multilateral dimension because agreements cover an international organization that world trade organization.  Kenya’s trade agreements will favor the good sustainable company. In essence through world trade organization, Kenya has shown a lot of commitments by subscribing to the trade agreements as stated by different WTO Agreements. The issues covered in this agreement include: </w:t>
      </w:r>
    </w:p>
    <w:p w:rsidR="006A1FBD" w:rsidRPr="006A1FBD" w:rsidRDefault="006A1FBD" w:rsidP="007A0EC5">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    General agreement on tariffs and trade (GATT)</w:t>
      </w:r>
    </w:p>
    <w:p w:rsidR="006A1FBD" w:rsidRPr="006A1FBD" w:rsidRDefault="006A1FBD" w:rsidP="007A0EC5">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    Agreement on anti-dumping</w:t>
      </w:r>
    </w:p>
    <w:p w:rsidR="00C56D47" w:rsidRPr="006A1FBD" w:rsidRDefault="006A1FBD" w:rsidP="00C56D47">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 xml:space="preserve">•    </w:t>
      </w:r>
      <w:r w:rsidR="00C56D47" w:rsidRPr="006A1FBD">
        <w:rPr>
          <w:rFonts w:ascii="Times New Roman" w:eastAsia="Times New Roman" w:hAnsi="Times New Roman" w:cs="Times New Roman"/>
          <w:sz w:val="24"/>
          <w:szCs w:val="24"/>
        </w:rPr>
        <w:t>Agreement on countervailing and subsidies measures</w:t>
      </w:r>
    </w:p>
    <w:p w:rsidR="00C56D47" w:rsidRPr="006A1FBD" w:rsidRDefault="00C56D47" w:rsidP="00C56D47">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    Agreement on customs valuation</w:t>
      </w:r>
    </w:p>
    <w:p w:rsidR="00C56D47" w:rsidRPr="006A1FBD" w:rsidRDefault="00C56D47" w:rsidP="00C56D47">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    Agreement on rules of origin</w:t>
      </w:r>
    </w:p>
    <w:p w:rsidR="00C56D47" w:rsidRPr="006A1FBD" w:rsidRDefault="00C56D47" w:rsidP="00C56D47">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    Agreement on intellectual and trade-related properties</w:t>
      </w:r>
    </w:p>
    <w:p w:rsidR="00C56D47" w:rsidRPr="006A1FBD" w:rsidRDefault="00C56D47" w:rsidP="00C56D47">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    Agreement to trade in services</w:t>
      </w:r>
    </w:p>
    <w:p w:rsidR="006A1FBD" w:rsidRPr="006A1FBD" w:rsidRDefault="006A1FBD" w:rsidP="00C56D47">
      <w:pPr>
        <w:spacing w:after="0" w:line="480" w:lineRule="auto"/>
        <w:ind w:firstLine="720"/>
        <w:rPr>
          <w:rFonts w:ascii="Times New Roman" w:eastAsia="Times New Roman" w:hAnsi="Times New Roman" w:cs="Times New Roman"/>
          <w:sz w:val="24"/>
          <w:szCs w:val="24"/>
        </w:rPr>
      </w:pPr>
    </w:p>
    <w:p w:rsidR="006A1FBD" w:rsidRPr="006A1FBD" w:rsidRDefault="006A1FBD" w:rsidP="007A0EC5">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 xml:space="preserve">These agreements can, therefore, be implemented by a country’s being highly committed at the WTO. This ensures that Kenya meets the standards of the requirement for the trade arena and more especially among the WTO members (Roderick, 2018). When it comes to trade agreements, Kenya has signed several trade agreements not only with developing but also developed countries. The engagement of the sustainable goods organization with Kenya’s bilateral trade agreements will help it to fulfill some of the trade agreement objectives as discussed below. </w:t>
      </w:r>
    </w:p>
    <w:p w:rsidR="006A1FBD" w:rsidRPr="006A1FBD" w:rsidRDefault="006A1FBD" w:rsidP="007A0EC5">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 xml:space="preserve">•    Reciprocating partaking regarding trade fairs and exhibitions </w:t>
      </w:r>
    </w:p>
    <w:p w:rsidR="006A1FBD" w:rsidRPr="006A1FBD" w:rsidRDefault="006A1FBD" w:rsidP="007A0EC5">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 xml:space="preserve">•    Exchanging the market intelligence including information in the market </w:t>
      </w:r>
    </w:p>
    <w:p w:rsidR="006A1FBD" w:rsidRPr="006A1FBD" w:rsidRDefault="006A1FBD" w:rsidP="007A0EC5">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    To share missions concerning products in specific trade</w:t>
      </w:r>
    </w:p>
    <w:p w:rsidR="006A1FBD" w:rsidRPr="006A1FBD" w:rsidRDefault="006A1FBD" w:rsidP="007A0EC5">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    Promotion of investment through trade</w:t>
      </w:r>
    </w:p>
    <w:p w:rsidR="006A1FBD" w:rsidRPr="006A1FBD" w:rsidRDefault="006A1FBD" w:rsidP="007A0EC5">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 xml:space="preserve"> The trade agreements in Kenya focus on controlling the non-Tariff barriers for access of exports into the Kenyan market. Further, the negotiations are based on the policy measures that look forward in eliminating the non-Tariff barriers.</w:t>
      </w:r>
    </w:p>
    <w:p w:rsidR="006A1FBD" w:rsidRPr="006A1FBD" w:rsidRDefault="006A1FBD" w:rsidP="00B87969">
      <w:pPr>
        <w:spacing w:after="0" w:line="480" w:lineRule="auto"/>
        <w:ind w:firstLine="720"/>
        <w:jc w:val="center"/>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Trade agreements in Japan</w:t>
      </w:r>
    </w:p>
    <w:p w:rsidR="006A1FBD" w:rsidRPr="006A1FBD" w:rsidRDefault="006A1FBD" w:rsidP="007A0EC5">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Trade agreements in Japan have experienced an exceptional, diverse economic growth. This growth has realized through the integration of local budgetary procedures which includes the free trade agreements which have become the japans favorite way of promoting market incorporation and trade liberalization (Solis Urata, 2018). For Japan government to maintains its exceptional diverse economic, it has taken some of the careful deportment with strict prejudiced nature. The government of Japan has therefore considered the financial arrangements with the specific nations as a way of challenging the spirit of the overall preparations on tariffs and the World Trade Organization while inhibiting the growth of general trade.</w:t>
      </w:r>
    </w:p>
    <w:p w:rsidR="006A1FBD" w:rsidRPr="006A1FBD" w:rsidRDefault="006A1FBD" w:rsidP="007A0EC5">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Japan has also considered some of the critical transfers towards intensive decentralization that helps in reviewing the basic trade policy’s (Rodrik, 2018). This includes the shifting of the trade policies from the multilateral to bilateral and the regional agreements which were implemented in the late 1990s. Tokyo, however, has gone on board on the official talks with Singapore about the formation of an FTA that has led to the validation of Japan-Singapore economic partnership agreement.</w:t>
      </w:r>
    </w:p>
    <w:p w:rsidR="006A1FBD" w:rsidRPr="006A1FBD" w:rsidRDefault="006A1FBD" w:rsidP="007A0EC5">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In the event where Japan will lack external pressures from multilateral trade negotiations, it will be interested in FTA policy in the promotion of structural changes. The FTA is a confident outlook to Japan in the sense that it found that the NAFTA and EU have encouraged operational reforms in member states</w:t>
      </w:r>
    </w:p>
    <w:p w:rsidR="00E8240A" w:rsidRDefault="006A1FBD" w:rsidP="0018653F">
      <w:pPr>
        <w:spacing w:after="0" w:line="480" w:lineRule="auto"/>
        <w:ind w:firstLine="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Under the WTO, Japan is therefore expected to contribute to the firming of the world trading systems. Due to the discriminative nature, some of the member nations have argued that the FTAs would have a harmful impact on the world trading systems. The argument was that the detrimental effect could be more than offset by favorable impressions from FTAS.</w:t>
      </w: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9A23E8" w:rsidRDefault="009A23E8" w:rsidP="007A0EC5">
      <w:pPr>
        <w:spacing w:after="0" w:line="480" w:lineRule="auto"/>
        <w:ind w:left="720" w:hanging="720"/>
        <w:jc w:val="center"/>
        <w:rPr>
          <w:rFonts w:ascii="Times New Roman" w:eastAsia="Times New Roman" w:hAnsi="Times New Roman" w:cs="Times New Roman"/>
          <w:sz w:val="24"/>
          <w:szCs w:val="24"/>
        </w:rPr>
      </w:pPr>
    </w:p>
    <w:p w:rsidR="006A1FBD" w:rsidRPr="006A1FBD" w:rsidRDefault="006A1FBD" w:rsidP="007A0EC5">
      <w:pPr>
        <w:spacing w:after="0" w:line="480" w:lineRule="auto"/>
        <w:ind w:left="720" w:hanging="720"/>
        <w:jc w:val="center"/>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References</w:t>
      </w:r>
    </w:p>
    <w:p w:rsidR="006A1FBD" w:rsidRPr="006A1FBD" w:rsidRDefault="006A1FBD" w:rsidP="007A0EC5">
      <w:pPr>
        <w:spacing w:after="0" w:line="480" w:lineRule="auto"/>
        <w:ind w:left="720" w:hanging="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 xml:space="preserve">Rodrik, D. (2018). What Do Trade Agreements Do?. Journal of Economic Perspectives, 32(2), 73-90. </w:t>
      </w:r>
    </w:p>
    <w:p w:rsidR="00B914A8" w:rsidRPr="00552084" w:rsidRDefault="006A1FBD" w:rsidP="007A0EC5">
      <w:pPr>
        <w:spacing w:after="0" w:line="480" w:lineRule="auto"/>
        <w:ind w:left="720" w:hanging="720"/>
        <w:rPr>
          <w:rFonts w:ascii="Times New Roman" w:eastAsia="Times New Roman" w:hAnsi="Times New Roman" w:cs="Times New Roman"/>
          <w:sz w:val="24"/>
          <w:szCs w:val="24"/>
        </w:rPr>
      </w:pPr>
      <w:r w:rsidRPr="006A1FBD">
        <w:rPr>
          <w:rFonts w:ascii="Times New Roman" w:eastAsia="Times New Roman" w:hAnsi="Times New Roman" w:cs="Times New Roman"/>
          <w:sz w:val="24"/>
          <w:szCs w:val="24"/>
        </w:rPr>
        <w:t>Solís, M., &amp; Urata, S. (2018). Abenomics and Japan's trade policy in a new era. Asian Economic Policy Review, 13(1), 106-123.</w:t>
      </w:r>
    </w:p>
    <w:sectPr w:rsidR="00B914A8" w:rsidRPr="00552084" w:rsidSect="007A29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0C5" w:rsidRDefault="00C610C5" w:rsidP="007A29F8">
      <w:pPr>
        <w:spacing w:after="0" w:line="240" w:lineRule="auto"/>
      </w:pPr>
      <w:r>
        <w:separator/>
      </w:r>
    </w:p>
  </w:endnote>
  <w:endnote w:type="continuationSeparator" w:id="0">
    <w:p w:rsidR="00C610C5" w:rsidRDefault="00C610C5" w:rsidP="007A2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0C5" w:rsidRDefault="00C610C5" w:rsidP="007A29F8">
      <w:pPr>
        <w:spacing w:after="0" w:line="240" w:lineRule="auto"/>
      </w:pPr>
      <w:r>
        <w:separator/>
      </w:r>
    </w:p>
  </w:footnote>
  <w:footnote w:type="continuationSeparator" w:id="0">
    <w:p w:rsidR="00C610C5" w:rsidRDefault="00C610C5" w:rsidP="007A2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94740201"/>
      <w:docPartObj>
        <w:docPartGallery w:val="Page Numbers (Top of Page)"/>
        <w:docPartUnique/>
      </w:docPartObj>
    </w:sdtPr>
    <w:sdtEndPr>
      <w:rPr>
        <w:noProof/>
      </w:rPr>
    </w:sdtEndPr>
    <w:sdtContent>
      <w:p w:rsidR="007A29F8" w:rsidRPr="007A29F8" w:rsidRDefault="007A29F8" w:rsidP="007A29F8">
        <w:pPr>
          <w:pStyle w:val="Header"/>
          <w:spacing w:line="480" w:lineRule="auto"/>
          <w:rPr>
            <w:rFonts w:ascii="Times New Roman" w:hAnsi="Times New Roman" w:cs="Times New Roman"/>
            <w:sz w:val="24"/>
            <w:szCs w:val="24"/>
          </w:rPr>
        </w:pPr>
        <w:r w:rsidRPr="007A29F8">
          <w:rPr>
            <w:rFonts w:ascii="Times New Roman" w:hAnsi="Times New Roman" w:cs="Times New Roman"/>
            <w:sz w:val="24"/>
            <w:szCs w:val="24"/>
          </w:rPr>
          <w:t xml:space="preserve">IMPACTS OF TRADE AGREEMENTS                       </w:t>
        </w:r>
        <w:r>
          <w:rPr>
            <w:rFonts w:ascii="Times New Roman" w:hAnsi="Times New Roman" w:cs="Times New Roman"/>
            <w:sz w:val="24"/>
            <w:szCs w:val="24"/>
          </w:rPr>
          <w:t xml:space="preserve">                          </w:t>
        </w:r>
        <w:r w:rsidRPr="007A29F8">
          <w:rPr>
            <w:rFonts w:ascii="Times New Roman" w:hAnsi="Times New Roman" w:cs="Times New Roman"/>
            <w:sz w:val="24"/>
            <w:szCs w:val="24"/>
          </w:rPr>
          <w:t xml:space="preserve">                                       </w:t>
        </w:r>
        <w:r w:rsidRPr="007A29F8">
          <w:rPr>
            <w:rFonts w:ascii="Times New Roman" w:hAnsi="Times New Roman" w:cs="Times New Roman"/>
            <w:sz w:val="24"/>
            <w:szCs w:val="24"/>
          </w:rPr>
          <w:fldChar w:fldCharType="begin"/>
        </w:r>
        <w:r w:rsidRPr="007A29F8">
          <w:rPr>
            <w:rFonts w:ascii="Times New Roman" w:hAnsi="Times New Roman" w:cs="Times New Roman"/>
            <w:sz w:val="24"/>
            <w:szCs w:val="24"/>
          </w:rPr>
          <w:instrText xml:space="preserve"> PAGE   \* MERGEFORMAT </w:instrText>
        </w:r>
        <w:r w:rsidRPr="007A29F8">
          <w:rPr>
            <w:rFonts w:ascii="Times New Roman" w:hAnsi="Times New Roman" w:cs="Times New Roman"/>
            <w:sz w:val="24"/>
            <w:szCs w:val="24"/>
          </w:rPr>
          <w:fldChar w:fldCharType="separate"/>
        </w:r>
        <w:r w:rsidR="00F67EA1">
          <w:rPr>
            <w:rFonts w:ascii="Times New Roman" w:hAnsi="Times New Roman" w:cs="Times New Roman"/>
            <w:noProof/>
            <w:sz w:val="24"/>
            <w:szCs w:val="24"/>
          </w:rPr>
          <w:t>5</w:t>
        </w:r>
        <w:r w:rsidRPr="007A29F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F8" w:rsidRPr="007A29F8" w:rsidRDefault="007A29F8" w:rsidP="007A29F8">
    <w:pPr>
      <w:spacing w:line="480" w:lineRule="auto"/>
      <w:rPr>
        <w:rFonts w:ascii="Times New Roman" w:hAnsi="Times New Roman" w:cs="Times New Roman"/>
        <w:sz w:val="24"/>
        <w:szCs w:val="24"/>
      </w:rPr>
    </w:pPr>
    <w:r>
      <w:rPr>
        <w:rFonts w:ascii="Times New Roman" w:hAnsi="Times New Roman" w:cs="Times New Roman"/>
        <w:sz w:val="24"/>
        <w:szCs w:val="24"/>
      </w:rPr>
      <w:t>Running Head: IMPACTS OF TRADE AGREEMENTS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6938F1"/>
    <w:multiLevelType w:val="hybridMultilevel"/>
    <w:tmpl w:val="8404E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BE3418"/>
    <w:multiLevelType w:val="hybridMultilevel"/>
    <w:tmpl w:val="7FA43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562"/>
    <w:rsid w:val="000966E2"/>
    <w:rsid w:val="000D5C52"/>
    <w:rsid w:val="000E0D86"/>
    <w:rsid w:val="000F4FDA"/>
    <w:rsid w:val="00120FDB"/>
    <w:rsid w:val="0018067F"/>
    <w:rsid w:val="0018653F"/>
    <w:rsid w:val="001A3156"/>
    <w:rsid w:val="001B774C"/>
    <w:rsid w:val="001F32C1"/>
    <w:rsid w:val="00301210"/>
    <w:rsid w:val="00302A76"/>
    <w:rsid w:val="003320B1"/>
    <w:rsid w:val="00375A0A"/>
    <w:rsid w:val="004055E4"/>
    <w:rsid w:val="004711CA"/>
    <w:rsid w:val="004D5D5B"/>
    <w:rsid w:val="00501562"/>
    <w:rsid w:val="0052073E"/>
    <w:rsid w:val="00552084"/>
    <w:rsid w:val="00552F08"/>
    <w:rsid w:val="005A30BB"/>
    <w:rsid w:val="0062656A"/>
    <w:rsid w:val="00662DAE"/>
    <w:rsid w:val="006A1FBD"/>
    <w:rsid w:val="007766BB"/>
    <w:rsid w:val="00781C21"/>
    <w:rsid w:val="007A0EC5"/>
    <w:rsid w:val="007A29F8"/>
    <w:rsid w:val="008A1605"/>
    <w:rsid w:val="008A6DFF"/>
    <w:rsid w:val="008D23F5"/>
    <w:rsid w:val="008F7D1B"/>
    <w:rsid w:val="009265AF"/>
    <w:rsid w:val="00981F2E"/>
    <w:rsid w:val="00996B6B"/>
    <w:rsid w:val="009A23E8"/>
    <w:rsid w:val="009B4A6D"/>
    <w:rsid w:val="00A343B4"/>
    <w:rsid w:val="00A55E4A"/>
    <w:rsid w:val="00B87969"/>
    <w:rsid w:val="00B914A8"/>
    <w:rsid w:val="00B95995"/>
    <w:rsid w:val="00C33D73"/>
    <w:rsid w:val="00C5091E"/>
    <w:rsid w:val="00C56D47"/>
    <w:rsid w:val="00C610C5"/>
    <w:rsid w:val="00CA48F3"/>
    <w:rsid w:val="00CB41DF"/>
    <w:rsid w:val="00CD144E"/>
    <w:rsid w:val="00CE6F87"/>
    <w:rsid w:val="00CF5CBC"/>
    <w:rsid w:val="00D41007"/>
    <w:rsid w:val="00D977FF"/>
    <w:rsid w:val="00DC4150"/>
    <w:rsid w:val="00E152D8"/>
    <w:rsid w:val="00E8240A"/>
    <w:rsid w:val="00EF4045"/>
    <w:rsid w:val="00F31D73"/>
    <w:rsid w:val="00F65A62"/>
    <w:rsid w:val="00F67EA1"/>
    <w:rsid w:val="00FD590F"/>
    <w:rsid w:val="00FE1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5A44E1-BB2C-4BA0-99E5-199BD16CA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2A76"/>
    <w:pPr>
      <w:ind w:left="720"/>
      <w:contextualSpacing/>
    </w:pPr>
  </w:style>
  <w:style w:type="paragraph" w:styleId="Header">
    <w:name w:val="header"/>
    <w:basedOn w:val="Normal"/>
    <w:link w:val="HeaderChar"/>
    <w:uiPriority w:val="99"/>
    <w:unhideWhenUsed/>
    <w:rsid w:val="007A2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9F8"/>
  </w:style>
  <w:style w:type="paragraph" w:styleId="Footer">
    <w:name w:val="footer"/>
    <w:basedOn w:val="Normal"/>
    <w:link w:val="FooterChar"/>
    <w:uiPriority w:val="99"/>
    <w:unhideWhenUsed/>
    <w:rsid w:val="007A2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32835">
      <w:bodyDiv w:val="1"/>
      <w:marLeft w:val="0"/>
      <w:marRight w:val="0"/>
      <w:marTop w:val="0"/>
      <w:marBottom w:val="0"/>
      <w:divBdr>
        <w:top w:val="none" w:sz="0" w:space="0" w:color="auto"/>
        <w:left w:val="none" w:sz="0" w:space="0" w:color="auto"/>
        <w:bottom w:val="none" w:sz="0" w:space="0" w:color="auto"/>
        <w:right w:val="none" w:sz="0" w:space="0" w:color="auto"/>
      </w:divBdr>
      <w:divsChild>
        <w:div w:id="2050718492">
          <w:marLeft w:val="0"/>
          <w:marRight w:val="0"/>
          <w:marTop w:val="0"/>
          <w:marBottom w:val="0"/>
          <w:divBdr>
            <w:top w:val="none" w:sz="0" w:space="0" w:color="auto"/>
            <w:left w:val="none" w:sz="0" w:space="0" w:color="auto"/>
            <w:bottom w:val="none" w:sz="0" w:space="0" w:color="auto"/>
            <w:right w:val="none" w:sz="0" w:space="0" w:color="auto"/>
          </w:divBdr>
        </w:div>
      </w:divsChild>
    </w:div>
    <w:div w:id="572129545">
      <w:bodyDiv w:val="1"/>
      <w:marLeft w:val="0"/>
      <w:marRight w:val="0"/>
      <w:marTop w:val="0"/>
      <w:marBottom w:val="0"/>
      <w:divBdr>
        <w:top w:val="none" w:sz="0" w:space="0" w:color="auto"/>
        <w:left w:val="none" w:sz="0" w:space="0" w:color="auto"/>
        <w:bottom w:val="none" w:sz="0" w:space="0" w:color="auto"/>
        <w:right w:val="none" w:sz="0" w:space="0" w:color="auto"/>
      </w:divBdr>
      <w:divsChild>
        <w:div w:id="471868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2018-08-04T05:54:00Z</dcterms:created>
  <dcterms:modified xsi:type="dcterms:W3CDTF">2018-08-04T05:54:00Z</dcterms:modified>
</cp:coreProperties>
</file>